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8354" w14:textId="23BB940C"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2D43C3E4" wp14:editId="12201D81">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0AC56F"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3C3E4"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fillcolor="#0061a7" strokecolor="#004079" strokeweight="3pt">
                <v:textbox>
                  <w:txbxContent>
                    <w:p w14:paraId="430AC56F"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6DAF0900" w14:textId="0F3BFA67" w:rsidR="2800AF5B" w:rsidRDefault="00F6067C" w:rsidP="280FB700">
      <w:pPr>
        <w:pStyle w:val="Heading2"/>
      </w:pPr>
      <w:r>
        <w:t xml:space="preserve">Wireless Door Handle Alarm </w:t>
      </w:r>
    </w:p>
    <w:tbl>
      <w:tblPr>
        <w:tblStyle w:val="TableGrid"/>
        <w:tblW w:w="10980" w:type="dxa"/>
        <w:tblInd w:w="-90" w:type="dxa"/>
        <w:tblLook w:val="04A0" w:firstRow="1" w:lastRow="0" w:firstColumn="1" w:lastColumn="0" w:noHBand="0" w:noVBand="1"/>
      </w:tblPr>
      <w:tblGrid>
        <w:gridCol w:w="5485"/>
        <w:gridCol w:w="5495"/>
      </w:tblGrid>
      <w:tr w:rsidR="00A817A5" w14:paraId="54E75CEA" w14:textId="77777777" w:rsidTr="280FB700">
        <w:tc>
          <w:tcPr>
            <w:tcW w:w="5485" w:type="dxa"/>
            <w:tcBorders>
              <w:top w:val="nil"/>
              <w:left w:val="nil"/>
              <w:bottom w:val="single" w:sz="4" w:space="0" w:color="000000" w:themeColor="text1"/>
              <w:right w:val="nil"/>
            </w:tcBorders>
          </w:tcPr>
          <w:p w14:paraId="6EF93CE2"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6AA19BEA" w14:textId="3FF202FA" w:rsidR="00A817A5" w:rsidRDefault="00A817A5" w:rsidP="00A817A5">
            <w:r w:rsidRPr="00B36266">
              <w:rPr>
                <w:rFonts w:cs="Open Sans"/>
                <w:b/>
                <w:bCs/>
              </w:rPr>
              <w:t>Image:</w:t>
            </w:r>
          </w:p>
        </w:tc>
      </w:tr>
      <w:tr w:rsidR="00A817A5" w14:paraId="598A5748" w14:textId="77777777" w:rsidTr="280FB700">
        <w:tc>
          <w:tcPr>
            <w:tcW w:w="5485" w:type="dxa"/>
            <w:tcBorders>
              <w:top w:val="single" w:sz="4" w:space="0" w:color="000000" w:themeColor="text1"/>
            </w:tcBorders>
          </w:tcPr>
          <w:p w14:paraId="054083BD" w14:textId="2EF7158C" w:rsidR="00243095" w:rsidRPr="00F6067C" w:rsidRDefault="00F6067C" w:rsidP="00F6067C">
            <w:pPr>
              <w:rPr>
                <w:rFonts w:ascii="Times New Roman" w:hAnsi="Times New Roman"/>
                <w:szCs w:val="24"/>
              </w:rPr>
            </w:pPr>
            <w:r w:rsidRPr="00F6067C">
              <w:rPr>
                <w:rFonts w:ascii="Avenir" w:hAnsi="Avenir"/>
                <w:color w:val="000000"/>
                <w:szCs w:val="24"/>
                <w:shd w:val="clear" w:color="auto" w:fill="FFFFFF"/>
              </w:rPr>
              <w:t xml:space="preserve">Extremely loud 110dB alarm helps alert others when vibration is detected. There are 3 adjustable settings (off/alarm/chime); chime mode alerts coming and going through </w:t>
            </w:r>
            <w:r>
              <w:rPr>
                <w:rFonts w:ascii="Avenir" w:hAnsi="Avenir"/>
                <w:color w:val="000000"/>
                <w:szCs w:val="24"/>
                <w:shd w:val="clear" w:color="auto" w:fill="FFFFFF"/>
              </w:rPr>
              <w:t xml:space="preserve">the </w:t>
            </w:r>
            <w:r w:rsidRPr="00F6067C">
              <w:rPr>
                <w:rFonts w:ascii="Avenir" w:hAnsi="Avenir"/>
                <w:color w:val="000000"/>
                <w:szCs w:val="24"/>
                <w:shd w:val="clear" w:color="auto" w:fill="FFFFFF"/>
              </w:rPr>
              <w:t xml:space="preserve">door; alarm mode features </w:t>
            </w:r>
            <w:r>
              <w:rPr>
                <w:rFonts w:ascii="Avenir" w:hAnsi="Avenir"/>
                <w:color w:val="000000"/>
                <w:szCs w:val="24"/>
                <w:shd w:val="clear" w:color="auto" w:fill="FFFFFF"/>
              </w:rPr>
              <w:t xml:space="preserve">a </w:t>
            </w:r>
            <w:r w:rsidRPr="00F6067C">
              <w:rPr>
                <w:rFonts w:ascii="Avenir" w:hAnsi="Avenir"/>
                <w:color w:val="000000"/>
                <w:szCs w:val="24"/>
                <w:shd w:val="clear" w:color="auto" w:fill="FFFFFF"/>
              </w:rPr>
              <w:t xml:space="preserve">30-second activation delay to prevent immediate false </w:t>
            </w:r>
            <w:proofErr w:type="gramStart"/>
            <w:r w:rsidRPr="00F6067C">
              <w:rPr>
                <w:rFonts w:ascii="Avenir" w:hAnsi="Avenir"/>
                <w:color w:val="000000"/>
                <w:szCs w:val="24"/>
                <w:shd w:val="clear" w:color="auto" w:fill="FFFFFF"/>
              </w:rPr>
              <w:t>triggering</w:t>
            </w:r>
            <w:r>
              <w:rPr>
                <w:rFonts w:ascii="Avenir" w:hAnsi="Avenir"/>
                <w:color w:val="000000"/>
                <w:szCs w:val="24"/>
                <w:shd w:val="clear" w:color="auto" w:fill="FFFFFF"/>
              </w:rPr>
              <w:t xml:space="preserve">, </w:t>
            </w:r>
            <w:r w:rsidRPr="00F6067C">
              <w:rPr>
                <w:rFonts w:ascii="Avenir" w:hAnsi="Avenir"/>
                <w:color w:val="000000"/>
                <w:szCs w:val="24"/>
                <w:shd w:val="clear" w:color="auto" w:fill="FFFFFF"/>
              </w:rPr>
              <w:t>but</w:t>
            </w:r>
            <w:proofErr w:type="gramEnd"/>
            <w:r w:rsidRPr="00F6067C">
              <w:rPr>
                <w:rFonts w:ascii="Avenir" w:hAnsi="Avenir"/>
                <w:color w:val="000000"/>
                <w:szCs w:val="24"/>
                <w:shd w:val="clear" w:color="auto" w:fill="FFFFFF"/>
              </w:rPr>
              <w:t xml:space="preserve"> sounds immediately when doorknob is touched any time after the initial 30-second delay. No wiring needed (requires 3xAAA batteries); simply hang the alarm on the inside of the door handle.</w:t>
            </w:r>
          </w:p>
        </w:tc>
        <w:tc>
          <w:tcPr>
            <w:tcW w:w="5495" w:type="dxa"/>
            <w:tcBorders>
              <w:top w:val="single" w:sz="4" w:space="0" w:color="000000" w:themeColor="text1"/>
            </w:tcBorders>
          </w:tcPr>
          <w:p w14:paraId="1B5328F7" w14:textId="3AFB09AB" w:rsidR="004B5CFE" w:rsidRDefault="004B5CFE" w:rsidP="004B5CFE">
            <w:pPr>
              <w:pStyle w:val="NormalWeb"/>
              <w:spacing w:line="480" w:lineRule="auto"/>
              <w:rPr>
                <w:color w:val="000000"/>
              </w:rPr>
            </w:pPr>
            <w:r>
              <w:rPr>
                <w:noProof/>
              </w:rPr>
              <w:drawing>
                <wp:anchor distT="0" distB="0" distL="114300" distR="114300" simplePos="0" relativeHeight="251659264" behindDoc="0" locked="0" layoutInCell="1" allowOverlap="1" wp14:anchorId="67283864" wp14:editId="31780078">
                  <wp:simplePos x="0" y="0"/>
                  <wp:positionH relativeFrom="column">
                    <wp:posOffset>60960</wp:posOffset>
                  </wp:positionH>
                  <wp:positionV relativeFrom="paragraph">
                    <wp:posOffset>248285</wp:posOffset>
                  </wp:positionV>
                  <wp:extent cx="1000125" cy="1900238"/>
                  <wp:effectExtent l="0" t="0" r="317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25" cy="1900238"/>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p w14:paraId="170A908D" w14:textId="5E3BE633" w:rsidR="00D372D4" w:rsidRDefault="00D372D4" w:rsidP="280FB700">
            <w:pPr>
              <w:jc w:val="center"/>
            </w:pPr>
          </w:p>
          <w:p w14:paraId="11D3FE67" w14:textId="29051FCD" w:rsidR="00F6067C" w:rsidRDefault="00F6067C" w:rsidP="280FB700">
            <w:pPr>
              <w:jc w:val="center"/>
            </w:pPr>
          </w:p>
          <w:p w14:paraId="68673147" w14:textId="77777777" w:rsidR="00F6067C" w:rsidRDefault="00F6067C" w:rsidP="00F6067C">
            <w:pPr>
              <w:pStyle w:val="NormalWeb"/>
              <w:spacing w:line="480" w:lineRule="auto"/>
              <w:rPr>
                <w:color w:val="000000"/>
              </w:rPr>
            </w:pPr>
          </w:p>
          <w:p w14:paraId="29287B19" w14:textId="77777777" w:rsidR="00F6067C" w:rsidRDefault="00F6067C" w:rsidP="00F6067C">
            <w:pPr>
              <w:pStyle w:val="NormalWeb"/>
              <w:spacing w:line="480" w:lineRule="auto"/>
              <w:rPr>
                <w:color w:val="000000"/>
              </w:rPr>
            </w:pPr>
          </w:p>
          <w:p w14:paraId="0EB6A306" w14:textId="77777777" w:rsidR="00F6067C" w:rsidRDefault="00F6067C" w:rsidP="00F6067C">
            <w:pPr>
              <w:spacing w:after="240"/>
            </w:pPr>
          </w:p>
          <w:p w14:paraId="11EA0339" w14:textId="05CDEFB1" w:rsidR="00A817A5" w:rsidRDefault="00A817A5" w:rsidP="0023184E">
            <w:pPr>
              <w:pStyle w:val="NormalWeb"/>
              <w:spacing w:line="480" w:lineRule="auto"/>
            </w:pPr>
          </w:p>
        </w:tc>
      </w:tr>
    </w:tbl>
    <w:p w14:paraId="2B433A20" w14:textId="77777777" w:rsidR="002F3659" w:rsidRPr="00F925D4" w:rsidRDefault="002F3659" w:rsidP="00C64CB9">
      <w:pPr>
        <w:pStyle w:val="Heading3"/>
        <w:spacing w:before="240" w:after="0"/>
      </w:pPr>
      <w:r w:rsidRPr="00F925D4">
        <w:t>Who Might Benefit?</w:t>
      </w:r>
    </w:p>
    <w:p w14:paraId="6E836331" w14:textId="54D3EE63" w:rsidR="00A83FD4" w:rsidRPr="00A83FD4" w:rsidRDefault="002F3659" w:rsidP="00F6067C">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55922A1A" w14:textId="21C68B3B" w:rsidR="00F6067C" w:rsidRDefault="00A83FD4" w:rsidP="00F6067C">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F6067C">
        <w:rPr>
          <w:rFonts w:cs="Open Sans"/>
        </w:rPr>
        <w:t>Are responsible for supervising children.</w:t>
      </w:r>
    </w:p>
    <w:p w14:paraId="3216CF9B" w14:textId="5325BA7F" w:rsidR="00F6067C" w:rsidRDefault="00F6067C" w:rsidP="00F6067C">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Act on impulse and try to open doors or gates. </w:t>
      </w:r>
    </w:p>
    <w:p w14:paraId="65282873" w14:textId="1B3D8290" w:rsidR="00F6067C" w:rsidRDefault="00F6067C" w:rsidP="00F6067C">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w:t>
      </w:r>
      <w:r>
        <w:rPr>
          <w:rFonts w:cs="Open Sans"/>
        </w:rPr>
        <w:t xml:space="preserve"> Attempt to follow a child who opens doors or gates. </w:t>
      </w:r>
    </w:p>
    <w:p w14:paraId="71B67199" w14:textId="77777777" w:rsidR="00487351" w:rsidRPr="0096519F" w:rsidRDefault="00487351" w:rsidP="005E6D03">
      <w:pPr>
        <w:pStyle w:val="Heading3"/>
        <w:spacing w:after="0"/>
      </w:pPr>
      <w:r w:rsidRPr="0096519F">
        <w:t xml:space="preserve">Why Use? </w:t>
      </w:r>
    </w:p>
    <w:p w14:paraId="7F30E92C"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126E4116" w14:textId="562A21C2" w:rsidR="0023184E" w:rsidRPr="0023184E" w:rsidRDefault="6C373462" w:rsidP="0023184E">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F6067C">
        <w:rPr>
          <w:rFonts w:ascii="Avenir" w:eastAsia="Avenir" w:hAnsi="Avenir" w:cs="Avenir"/>
          <w:color w:val="000000" w:themeColor="text1"/>
        </w:rPr>
        <w:t>Acts as a safety measure for those who try to leave e</w:t>
      </w:r>
      <w:r w:rsidR="00600A82">
        <w:rPr>
          <w:rFonts w:ascii="Avenir" w:eastAsia="Avenir" w:hAnsi="Avenir" w:cs="Avenir"/>
          <w:color w:val="000000" w:themeColor="text1"/>
        </w:rPr>
        <w:t>x</w:t>
      </w:r>
      <w:r w:rsidR="00F6067C">
        <w:rPr>
          <w:rFonts w:ascii="Avenir" w:eastAsia="Avenir" w:hAnsi="Avenir" w:cs="Avenir"/>
          <w:color w:val="000000" w:themeColor="text1"/>
        </w:rPr>
        <w:t xml:space="preserve">ternal gates or doors due to: </w:t>
      </w:r>
    </w:p>
    <w:p w14:paraId="2AC3A576" w14:textId="01F28643" w:rsidR="0023184E" w:rsidRDefault="00F6067C" w:rsidP="0023184E">
      <w:pPr>
        <w:pBdr>
          <w:top w:val="single" w:sz="4" w:space="1" w:color="000000"/>
          <w:left w:val="single" w:sz="4" w:space="4" w:color="000000"/>
          <w:bottom w:val="single" w:sz="4" w:space="1" w:color="000000"/>
          <w:right w:val="single" w:sz="4" w:space="4" w:color="000000"/>
        </w:pBdr>
        <w:spacing w:after="0"/>
        <w:rPr>
          <w:rFonts w:cs="Open Sans"/>
        </w:rPr>
      </w:pPr>
      <w:r>
        <w:tab/>
      </w:r>
      <w:r w:rsidRPr="280FB700">
        <w:rPr>
          <w:rFonts w:cs="Open Sans"/>
        </w:rPr>
        <w:t>•</w:t>
      </w:r>
      <w:r>
        <w:rPr>
          <w:rFonts w:cs="Open Sans"/>
        </w:rPr>
        <w:t xml:space="preserve"> Becoming overstimulated in the classroom </w:t>
      </w:r>
    </w:p>
    <w:p w14:paraId="0A462B20" w14:textId="4967CA65" w:rsidR="00F6067C" w:rsidRDefault="00F6067C" w:rsidP="0023184E">
      <w:pPr>
        <w:pBdr>
          <w:top w:val="single" w:sz="4" w:space="1" w:color="000000"/>
          <w:left w:val="single" w:sz="4" w:space="4" w:color="000000"/>
          <w:bottom w:val="single" w:sz="4" w:space="1" w:color="000000"/>
          <w:right w:val="single" w:sz="4" w:space="4" w:color="000000"/>
        </w:pBdr>
        <w:spacing w:after="0"/>
        <w:rPr>
          <w:rFonts w:cs="Open Sans"/>
        </w:rPr>
      </w:pPr>
      <w:r>
        <w:rPr>
          <w:rFonts w:cs="Open Sans"/>
        </w:rPr>
        <w:tab/>
      </w:r>
      <w:r w:rsidRPr="280FB700">
        <w:rPr>
          <w:rFonts w:cs="Open Sans"/>
        </w:rPr>
        <w:t>•</w:t>
      </w:r>
      <w:r>
        <w:rPr>
          <w:rFonts w:cs="Open Sans"/>
        </w:rPr>
        <w:t xml:space="preserve"> Feeling frightened or upset</w:t>
      </w:r>
    </w:p>
    <w:p w14:paraId="2DCC68B9" w14:textId="55CDCEE2" w:rsidR="00F6067C" w:rsidRPr="00F6067C" w:rsidRDefault="00F6067C" w:rsidP="0023184E">
      <w:pPr>
        <w:pBdr>
          <w:top w:val="single" w:sz="4" w:space="1" w:color="000000"/>
          <w:left w:val="single" w:sz="4" w:space="4" w:color="000000"/>
          <w:bottom w:val="single" w:sz="4" w:space="1" w:color="000000"/>
          <w:right w:val="single" w:sz="4" w:space="4" w:color="000000"/>
        </w:pBdr>
        <w:spacing w:after="0"/>
        <w:rPr>
          <w:rFonts w:cs="Open Sans"/>
        </w:rPr>
      </w:pPr>
      <w:r>
        <w:rPr>
          <w:rFonts w:cs="Open Sans"/>
        </w:rPr>
        <w:tab/>
      </w:r>
      <w:r w:rsidRPr="280FB700">
        <w:rPr>
          <w:rFonts w:cs="Open Sans"/>
        </w:rPr>
        <w:t>•</w:t>
      </w:r>
      <w:r>
        <w:rPr>
          <w:rFonts w:cs="Open Sans"/>
        </w:rPr>
        <w:t xml:space="preserve"> Wandering from supervised areas </w:t>
      </w:r>
    </w:p>
    <w:p w14:paraId="38FA7D44" w14:textId="7CA4629B" w:rsidR="00F6067C" w:rsidRPr="00F6067C" w:rsidRDefault="00F6067C" w:rsidP="00C64CB9">
      <w:pPr>
        <w:pBdr>
          <w:top w:val="single" w:sz="4" w:space="1" w:color="000000"/>
          <w:left w:val="single" w:sz="4" w:space="4" w:color="000000"/>
          <w:bottom w:val="single" w:sz="4" w:space="1" w:color="000000"/>
          <w:right w:val="single" w:sz="4" w:space="4" w:color="000000"/>
        </w:pBdr>
        <w:rPr>
          <w:rFonts w:cs="Open Sans"/>
        </w:rPr>
      </w:pPr>
      <w:r>
        <w:tab/>
      </w:r>
      <w:r w:rsidRPr="280FB700">
        <w:rPr>
          <w:rFonts w:cs="Open Sans"/>
        </w:rPr>
        <w:t>•</w:t>
      </w:r>
      <w:r>
        <w:rPr>
          <w:rFonts w:cs="Open Sans"/>
        </w:rPr>
        <w:t xml:space="preserve"> Attention Seeking </w:t>
      </w:r>
    </w:p>
    <w:tbl>
      <w:tblPr>
        <w:tblStyle w:val="TableGrid"/>
        <w:tblW w:w="11018" w:type="dxa"/>
        <w:tblInd w:w="-95" w:type="dxa"/>
        <w:tblLook w:val="04A0" w:firstRow="1" w:lastRow="0" w:firstColumn="1" w:lastColumn="0" w:noHBand="0" w:noVBand="1"/>
      </w:tblPr>
      <w:tblGrid>
        <w:gridCol w:w="6030"/>
        <w:gridCol w:w="4988"/>
      </w:tblGrid>
      <w:tr w:rsidR="008D6ED7" w:rsidRPr="0096519F" w14:paraId="646048F2" w14:textId="77777777" w:rsidTr="00C2213D">
        <w:tc>
          <w:tcPr>
            <w:tcW w:w="6030" w:type="dxa"/>
          </w:tcPr>
          <w:p w14:paraId="1A78A1FA" w14:textId="77777777" w:rsidR="0011427B" w:rsidRPr="0096519F" w:rsidRDefault="0011427B" w:rsidP="005E6D03">
            <w:pPr>
              <w:pStyle w:val="Heading3"/>
            </w:pPr>
            <w:r>
              <w:t>Instructions for Use:</w:t>
            </w:r>
          </w:p>
        </w:tc>
        <w:tc>
          <w:tcPr>
            <w:tcW w:w="4988" w:type="dxa"/>
          </w:tcPr>
          <w:p w14:paraId="20EAA247" w14:textId="77777777" w:rsidR="0011427B" w:rsidRPr="008D572E" w:rsidRDefault="0011427B" w:rsidP="005E6D03">
            <w:pPr>
              <w:pStyle w:val="Heading3"/>
              <w:rPr>
                <w:szCs w:val="24"/>
              </w:rPr>
            </w:pPr>
            <w:r w:rsidRPr="008D572E">
              <w:rPr>
                <w:szCs w:val="24"/>
              </w:rPr>
              <w:t>Adaptation Ideas:</w:t>
            </w:r>
          </w:p>
        </w:tc>
      </w:tr>
      <w:tr w:rsidR="008D6ED7" w:rsidRPr="0096519F" w14:paraId="72C9B4BA" w14:textId="77777777" w:rsidTr="00C2213D">
        <w:tc>
          <w:tcPr>
            <w:tcW w:w="6030" w:type="dxa"/>
          </w:tcPr>
          <w:p w14:paraId="5CDB4CDF" w14:textId="77777777"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F87998C" w14:textId="77777777" w:rsidR="00F6067C" w:rsidRDefault="00F6067C" w:rsidP="004952C7">
            <w:pPr>
              <w:pStyle w:val="NormalWeb"/>
              <w:numPr>
                <w:ilvl w:val="0"/>
                <w:numId w:val="1"/>
              </w:numPr>
              <w:textAlignment w:val="baseline"/>
              <w:rPr>
                <w:rFonts w:ascii="Avenir" w:hAnsi="Avenir"/>
                <w:color w:val="000000"/>
              </w:rPr>
            </w:pPr>
            <w:r>
              <w:rPr>
                <w:rFonts w:ascii="Avenir" w:hAnsi="Avenir"/>
                <w:color w:val="000000"/>
                <w:shd w:val="clear" w:color="auto" w:fill="FFFFFF"/>
              </w:rPr>
              <w:t>Be aware of how the noise level or amount of visual stimulation or busy activities may affect certain children.</w:t>
            </w:r>
          </w:p>
          <w:p w14:paraId="001A5FD0" w14:textId="77777777" w:rsidR="00F6067C" w:rsidRDefault="00F6067C" w:rsidP="004952C7">
            <w:pPr>
              <w:pStyle w:val="NormalWeb"/>
              <w:numPr>
                <w:ilvl w:val="0"/>
                <w:numId w:val="1"/>
              </w:numPr>
              <w:textAlignment w:val="baseline"/>
              <w:rPr>
                <w:rFonts w:ascii="Avenir" w:hAnsi="Avenir"/>
                <w:color w:val="000000"/>
              </w:rPr>
            </w:pPr>
            <w:r>
              <w:rPr>
                <w:rFonts w:ascii="Avenir" w:hAnsi="Avenir"/>
                <w:color w:val="000000"/>
                <w:shd w:val="clear" w:color="auto" w:fill="FFFFFF"/>
              </w:rPr>
              <w:t>Create boundaries such as a taped box in front of the doorway as a “no stand zone”.</w:t>
            </w:r>
          </w:p>
          <w:p w14:paraId="0EDA5AC6" w14:textId="77777777" w:rsidR="00F6067C" w:rsidRDefault="00F6067C" w:rsidP="004952C7">
            <w:pPr>
              <w:pStyle w:val="NormalWeb"/>
              <w:numPr>
                <w:ilvl w:val="0"/>
                <w:numId w:val="1"/>
              </w:numPr>
              <w:textAlignment w:val="baseline"/>
              <w:rPr>
                <w:rFonts w:ascii="Avenir" w:hAnsi="Avenir"/>
                <w:color w:val="000000"/>
              </w:rPr>
            </w:pPr>
            <w:r>
              <w:rPr>
                <w:rFonts w:ascii="Avenir" w:hAnsi="Avenir"/>
                <w:color w:val="000000"/>
                <w:shd w:val="clear" w:color="auto" w:fill="FFFFFF"/>
              </w:rPr>
              <w:t>Place the desk or table where the teacher spends the most class time close to the door to allow for quick intervention.</w:t>
            </w:r>
          </w:p>
          <w:p w14:paraId="69D917D9" w14:textId="77777777" w:rsidR="00F6067C" w:rsidRDefault="00F6067C" w:rsidP="004952C7">
            <w:pPr>
              <w:pStyle w:val="NormalWeb"/>
              <w:numPr>
                <w:ilvl w:val="0"/>
                <w:numId w:val="1"/>
              </w:numPr>
              <w:spacing w:after="200"/>
              <w:textAlignment w:val="baseline"/>
              <w:rPr>
                <w:rFonts w:ascii="Avenir" w:hAnsi="Avenir"/>
                <w:color w:val="000000"/>
              </w:rPr>
            </w:pPr>
            <w:r>
              <w:rPr>
                <w:rFonts w:ascii="Avenir" w:hAnsi="Avenir"/>
                <w:color w:val="000000"/>
                <w:shd w:val="clear" w:color="auto" w:fill="FFFFFF"/>
              </w:rPr>
              <w:t>Place a stop sign on door or outside gate.</w:t>
            </w:r>
          </w:p>
          <w:p w14:paraId="385923A2" w14:textId="77777777" w:rsidR="4E34DEC4" w:rsidRDefault="18965D3C" w:rsidP="4E34DEC4">
            <w:pPr>
              <w:rPr>
                <w:rFonts w:ascii="Avenir" w:eastAsia="Avenir" w:hAnsi="Avenir" w:cs="Avenir"/>
                <w:b/>
                <w:bCs/>
              </w:rPr>
            </w:pPr>
            <w:r w:rsidRPr="280FB700">
              <w:rPr>
                <w:rFonts w:ascii="Avenir" w:eastAsia="Avenir" w:hAnsi="Avenir" w:cs="Avenir"/>
                <w:b/>
                <w:bCs/>
              </w:rPr>
              <w:lastRenderedPageBreak/>
              <w:t>Positioning</w:t>
            </w:r>
          </w:p>
          <w:p w14:paraId="197D1E96" w14:textId="462802EF" w:rsidR="00F6067C" w:rsidRPr="00F6067C" w:rsidRDefault="00F6067C" w:rsidP="004952C7">
            <w:pPr>
              <w:pStyle w:val="ListParagraph"/>
              <w:numPr>
                <w:ilvl w:val="0"/>
                <w:numId w:val="1"/>
              </w:numPr>
              <w:rPr>
                <w:rFonts w:ascii="Avenir" w:eastAsia="Avenir" w:hAnsi="Avenir" w:cs="Avenir"/>
                <w:color w:val="000000" w:themeColor="text1"/>
              </w:rPr>
            </w:pPr>
            <w:r>
              <w:rPr>
                <w:rFonts w:ascii="Avenir" w:hAnsi="Avenir"/>
                <w:color w:val="000000"/>
                <w:shd w:val="clear" w:color="auto" w:fill="FFFFFF"/>
              </w:rPr>
              <w:t>S</w:t>
            </w:r>
            <w:r w:rsidRPr="00F6067C">
              <w:rPr>
                <w:rFonts w:ascii="Avenir" w:hAnsi="Avenir"/>
                <w:color w:val="000000"/>
                <w:shd w:val="clear" w:color="auto" w:fill="FFFFFF"/>
              </w:rPr>
              <w:t>trategically place the</w:t>
            </w:r>
            <w:r>
              <w:rPr>
                <w:rFonts w:ascii="Avenir" w:hAnsi="Avenir"/>
                <w:color w:val="000000"/>
                <w:shd w:val="clear" w:color="auto" w:fill="FFFFFF"/>
              </w:rPr>
              <w:t xml:space="preserve"> child</w:t>
            </w:r>
            <w:r w:rsidRPr="00F6067C">
              <w:rPr>
                <w:rFonts w:ascii="Avenir" w:hAnsi="Avenir"/>
                <w:color w:val="000000"/>
                <w:shd w:val="clear" w:color="auto" w:fill="FFFFFF"/>
              </w:rPr>
              <w:t xml:space="preserve"> away from an accessible door. If possible, have an adult positioned close to the child as well as the door to redirect them if they try to leave.</w:t>
            </w:r>
          </w:p>
          <w:p w14:paraId="0BA44503" w14:textId="77777777" w:rsidR="00223E9A" w:rsidRDefault="1A3C9635" w:rsidP="00901DAC">
            <w:pPr>
              <w:pStyle w:val="NormalWeb"/>
              <w:textAlignment w:val="baseline"/>
              <w:rPr>
                <w:rFonts w:ascii="Avenir" w:eastAsia="Avenir" w:hAnsi="Avenir" w:cs="Avenir"/>
                <w:color w:val="000000" w:themeColor="text1"/>
              </w:rPr>
            </w:pPr>
            <w:r w:rsidRPr="280FB700">
              <w:rPr>
                <w:rFonts w:ascii="Avenir" w:eastAsia="Avenir" w:hAnsi="Avenir" w:cs="Avenir"/>
                <w:b/>
                <w:bCs/>
                <w:color w:val="000000" w:themeColor="text1"/>
              </w:rPr>
              <w:t>Play/Use with Others</w:t>
            </w:r>
          </w:p>
          <w:p w14:paraId="1CCF47B5" w14:textId="7C6BF9A7" w:rsidR="00F6067C" w:rsidRDefault="00F6067C" w:rsidP="004952C7">
            <w:pPr>
              <w:pStyle w:val="NormalWeb"/>
              <w:numPr>
                <w:ilvl w:val="0"/>
                <w:numId w:val="1"/>
              </w:numPr>
              <w:textAlignment w:val="baseline"/>
              <w:rPr>
                <w:rFonts w:ascii="Avenir" w:hAnsi="Avenir"/>
                <w:color w:val="000000"/>
              </w:rPr>
            </w:pPr>
            <w:r>
              <w:rPr>
                <w:rFonts w:ascii="Avenir" w:hAnsi="Avenir"/>
                <w:color w:val="000000"/>
                <w:shd w:val="clear" w:color="auto" w:fill="FFFFFF"/>
              </w:rPr>
              <w:t>C</w:t>
            </w:r>
            <w:r w:rsidR="00770589">
              <w:rPr>
                <w:rFonts w:ascii="Avenir" w:hAnsi="Avenir"/>
                <w:color w:val="000000"/>
                <w:shd w:val="clear" w:color="auto" w:fill="FFFFFF"/>
              </w:rPr>
              <w:t>reate</w:t>
            </w:r>
            <w:r>
              <w:rPr>
                <w:rFonts w:ascii="Avenir" w:hAnsi="Avenir"/>
                <w:color w:val="000000"/>
                <w:shd w:val="clear" w:color="auto" w:fill="FFFFFF"/>
              </w:rPr>
              <w:t xml:space="preserve"> a poster about leaving the area to be reviewed daily in morning circle/meeting, as well as posted on or near the door as a reminder to children who struggle with elopement.</w:t>
            </w:r>
          </w:p>
          <w:p w14:paraId="56FEA426" w14:textId="77777777" w:rsidR="00F6067C" w:rsidRDefault="00F6067C" w:rsidP="004952C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Combine poster or social stories about leaving designated areas with community signs/traffic lights with concepts of stop (red light), go (green light), wait or caution (yellow light).</w:t>
            </w:r>
          </w:p>
          <w:p w14:paraId="01EC24E5" w14:textId="77777777" w:rsidR="00F6067C" w:rsidRDefault="00F6067C" w:rsidP="004952C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Play Red Light Green Light game and discuss instances of when it is important to stop, and OK to go.</w:t>
            </w:r>
          </w:p>
          <w:p w14:paraId="487E4717" w14:textId="0805687D" w:rsidR="00F6067C" w:rsidRDefault="00F6067C" w:rsidP="00F6067C">
            <w:pPr>
              <w:pStyle w:val="NormalWeb"/>
              <w:textAlignment w:val="baseline"/>
            </w:pPr>
          </w:p>
        </w:tc>
        <w:tc>
          <w:tcPr>
            <w:tcW w:w="4988" w:type="dxa"/>
          </w:tcPr>
          <w:p w14:paraId="35AA8F3F" w14:textId="77777777" w:rsidR="00CF2FCD" w:rsidRDefault="00CF2FCD" w:rsidP="00C2213D">
            <w:pPr>
              <w:pStyle w:val="Heading3"/>
              <w:rPr>
                <w:rFonts w:ascii="Avenir" w:eastAsia="Avenir" w:hAnsi="Avenir" w:cs="Avenir"/>
                <w:color w:val="000000" w:themeColor="text1"/>
              </w:rPr>
            </w:pPr>
            <w:r>
              <w:rPr>
                <w:rFonts w:ascii="Avenir" w:eastAsia="Avenir" w:hAnsi="Avenir" w:cs="Avenir"/>
                <w:color w:val="000000" w:themeColor="text1"/>
              </w:rPr>
              <w:lastRenderedPageBreak/>
              <w:t>Communication Support</w:t>
            </w:r>
          </w:p>
          <w:p w14:paraId="6927549F" w14:textId="74CD473C" w:rsidR="00C2213D" w:rsidRPr="00C2213D" w:rsidRDefault="00C2213D" w:rsidP="004952C7">
            <w:pPr>
              <w:pStyle w:val="ListParagraph"/>
              <w:numPr>
                <w:ilvl w:val="0"/>
                <w:numId w:val="4"/>
              </w:numPr>
              <w:rPr>
                <w:rFonts w:ascii="Times New Roman" w:hAnsi="Times New Roman"/>
              </w:rPr>
            </w:pPr>
            <w:r w:rsidRPr="00C2213D">
              <w:rPr>
                <w:rFonts w:ascii="Avenir" w:hAnsi="Avenir"/>
                <w:color w:val="000000"/>
                <w:shd w:val="clear" w:color="auto" w:fill="FFFFFF"/>
              </w:rPr>
              <w:t>Visuals displaying options of things children can say or do when they feel like they need to "get away".</w:t>
            </w:r>
          </w:p>
          <w:p w14:paraId="02944CAF" w14:textId="77A6C873" w:rsidR="00C2213D" w:rsidRDefault="00C2213D" w:rsidP="004952C7">
            <w:pPr>
              <w:pStyle w:val="NormalWeb"/>
              <w:numPr>
                <w:ilvl w:val="0"/>
                <w:numId w:val="4"/>
              </w:numPr>
              <w:contextualSpacing/>
              <w:textAlignment w:val="baseline"/>
              <w:rPr>
                <w:rFonts w:ascii="Avenir" w:hAnsi="Avenir"/>
                <w:color w:val="000000"/>
              </w:rPr>
            </w:pPr>
            <w:r>
              <w:rPr>
                <w:rFonts w:ascii="Avenir" w:hAnsi="Avenir"/>
                <w:color w:val="000000"/>
                <w:shd w:val="clear" w:color="auto" w:fill="FFFFFF"/>
              </w:rPr>
              <w:t>Create lanyards for all staff with visuals including stop, wait, I need a break.</w:t>
            </w:r>
          </w:p>
          <w:p w14:paraId="3A19FBA0" w14:textId="54D0299F" w:rsidR="00C2213D" w:rsidRPr="00C2213D" w:rsidRDefault="00C2213D" w:rsidP="004952C7">
            <w:pPr>
              <w:pStyle w:val="NormalWeb"/>
              <w:numPr>
                <w:ilvl w:val="0"/>
                <w:numId w:val="4"/>
              </w:numPr>
              <w:contextualSpacing/>
              <w:textAlignment w:val="baseline"/>
              <w:rPr>
                <w:rFonts w:ascii="Avenir" w:hAnsi="Avenir"/>
                <w:color w:val="000000"/>
                <w:sz w:val="22"/>
                <w:szCs w:val="22"/>
              </w:rPr>
            </w:pPr>
            <w:r>
              <w:rPr>
                <w:rFonts w:ascii="Avenir" w:hAnsi="Avenir"/>
                <w:color w:val="000000"/>
                <w:shd w:val="clear" w:color="auto" w:fill="FFFFFF"/>
              </w:rPr>
              <w:t xml:space="preserve">Create an individual or class Social Story (e.g. Staying </w:t>
            </w:r>
            <w:proofErr w:type="gramStart"/>
            <w:r>
              <w:rPr>
                <w:rFonts w:ascii="Avenir" w:hAnsi="Avenir"/>
                <w:color w:val="000000"/>
                <w:shd w:val="clear" w:color="auto" w:fill="FFFFFF"/>
              </w:rPr>
              <w:t>With</w:t>
            </w:r>
            <w:proofErr w:type="gramEnd"/>
            <w:r>
              <w:rPr>
                <w:rFonts w:ascii="Avenir" w:hAnsi="Avenir"/>
                <w:color w:val="000000"/>
                <w:shd w:val="clear" w:color="auto" w:fill="FFFFFF"/>
              </w:rPr>
              <w:t xml:space="preserve"> My Class, Running Away, I Can Choose to Be Safe).</w:t>
            </w:r>
          </w:p>
          <w:p w14:paraId="23D037C5" w14:textId="77777777" w:rsidR="00F56CCB" w:rsidRPr="008D572E" w:rsidRDefault="29A41013" w:rsidP="00075009">
            <w:pPr>
              <w:pStyle w:val="Heading3"/>
              <w:rPr>
                <w:rFonts w:ascii="Avenir" w:eastAsia="Avenir" w:hAnsi="Avenir" w:cs="Avenir"/>
                <w:color w:val="000000" w:themeColor="text1"/>
                <w:szCs w:val="24"/>
              </w:rPr>
            </w:pPr>
            <w:r w:rsidRPr="280FB700">
              <w:rPr>
                <w:rFonts w:ascii="Avenir" w:eastAsia="Avenir" w:hAnsi="Avenir" w:cs="Avenir"/>
                <w:color w:val="000000" w:themeColor="text1"/>
              </w:rPr>
              <w:lastRenderedPageBreak/>
              <w:t>DIY Alternatives</w:t>
            </w:r>
          </w:p>
          <w:p w14:paraId="12BC67A9" w14:textId="555578F2" w:rsidR="00C2213D" w:rsidRDefault="00C2213D" w:rsidP="004952C7">
            <w:pPr>
              <w:pStyle w:val="NormalWeb"/>
              <w:numPr>
                <w:ilvl w:val="0"/>
                <w:numId w:val="4"/>
              </w:numPr>
              <w:contextualSpacing/>
              <w:textAlignment w:val="baseline"/>
              <w:rPr>
                <w:rFonts w:ascii="Avenir" w:hAnsi="Avenir"/>
                <w:color w:val="000000"/>
              </w:rPr>
            </w:pPr>
            <w:r>
              <w:rPr>
                <w:rFonts w:ascii="Avenir" w:hAnsi="Avenir"/>
                <w:color w:val="000000"/>
                <w:shd w:val="clear" w:color="auto" w:fill="FFFFFF"/>
              </w:rPr>
              <w:t>“Sleigh bells” or other movement triggered noise</w:t>
            </w:r>
            <w:r w:rsidR="00770589">
              <w:rPr>
                <w:rFonts w:ascii="Avenir" w:hAnsi="Avenir"/>
                <w:color w:val="000000"/>
                <w:shd w:val="clear" w:color="auto" w:fill="FFFFFF"/>
              </w:rPr>
              <w:t xml:space="preserve"> </w:t>
            </w:r>
            <w:r>
              <w:rPr>
                <w:rFonts w:ascii="Avenir" w:hAnsi="Avenir"/>
                <w:color w:val="000000"/>
                <w:shd w:val="clear" w:color="auto" w:fill="FFFFFF"/>
              </w:rPr>
              <w:t>maker on doors and gates.</w:t>
            </w:r>
          </w:p>
          <w:p w14:paraId="60E16AD3" w14:textId="3E572D1F" w:rsidR="00C2213D" w:rsidRDefault="00C2213D" w:rsidP="004952C7">
            <w:pPr>
              <w:pStyle w:val="NormalWeb"/>
              <w:numPr>
                <w:ilvl w:val="0"/>
                <w:numId w:val="4"/>
              </w:numPr>
              <w:contextualSpacing/>
              <w:textAlignment w:val="baseline"/>
              <w:rPr>
                <w:rFonts w:ascii="Avenir" w:hAnsi="Avenir"/>
                <w:color w:val="000000"/>
              </w:rPr>
            </w:pPr>
            <w:r>
              <w:rPr>
                <w:rFonts w:ascii="Avenir" w:hAnsi="Avenir"/>
                <w:color w:val="000000"/>
                <w:shd w:val="clear" w:color="auto" w:fill="FFFFFF"/>
              </w:rPr>
              <w:t>Stop signs posted on doors and gates.</w:t>
            </w:r>
          </w:p>
          <w:p w14:paraId="1DEB9BEE" w14:textId="2692F91E" w:rsidR="00360B28" w:rsidRPr="00C2213D" w:rsidRDefault="00C2213D" w:rsidP="004952C7">
            <w:pPr>
              <w:pStyle w:val="NormalWeb"/>
              <w:numPr>
                <w:ilvl w:val="0"/>
                <w:numId w:val="4"/>
              </w:numPr>
              <w:contextualSpacing/>
              <w:textAlignment w:val="baseline"/>
              <w:rPr>
                <w:rFonts w:ascii="Avenir" w:hAnsi="Avenir"/>
                <w:color w:val="000000"/>
              </w:rPr>
            </w:pPr>
            <w:r>
              <w:rPr>
                <w:rFonts w:ascii="Avenir" w:hAnsi="Avenir"/>
                <w:color w:val="000000"/>
                <w:shd w:val="clear" w:color="auto" w:fill="FFFFFF"/>
              </w:rPr>
              <w:t>If home has a security system, check to see whether a door alarm can be activated when door opens and/or closes.</w:t>
            </w:r>
            <w:r w:rsidR="00717456" w:rsidRPr="00C2213D">
              <w:rPr>
                <w:rFonts w:ascii="Avenir" w:eastAsia="Avenir" w:hAnsi="Avenir" w:cs="Avenir"/>
                <w:color w:val="000000" w:themeColor="text1"/>
              </w:rPr>
              <w:t xml:space="preserve"> </w:t>
            </w:r>
          </w:p>
        </w:tc>
      </w:tr>
    </w:tbl>
    <w:p w14:paraId="16F762F4" w14:textId="77777777" w:rsidR="00C2213D" w:rsidRPr="0096519F" w:rsidRDefault="00C2213D"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1754F9DB" w14:textId="77777777" w:rsidTr="280FB700">
        <w:tc>
          <w:tcPr>
            <w:tcW w:w="10980" w:type="dxa"/>
          </w:tcPr>
          <w:p w14:paraId="6467AA7C" w14:textId="53EFBA3C" w:rsidR="00C63C87" w:rsidRDefault="57D04A80" w:rsidP="00C63C87">
            <w:pPr>
              <w:pStyle w:val="Heading3"/>
            </w:pPr>
            <w:r>
              <w:t>Resourc</w:t>
            </w:r>
            <w:r w:rsidR="798AB4F7">
              <w:t>e</w:t>
            </w:r>
            <w:r>
              <w:t>s:</w:t>
            </w:r>
          </w:p>
          <w:p w14:paraId="55086CE3" w14:textId="77777777" w:rsidR="00C2213D" w:rsidRPr="00C2213D" w:rsidRDefault="00C2213D" w:rsidP="004952C7">
            <w:pPr>
              <w:pStyle w:val="NormalWeb"/>
              <w:numPr>
                <w:ilvl w:val="0"/>
                <w:numId w:val="3"/>
              </w:numPr>
              <w:contextualSpacing/>
              <w:textAlignment w:val="baseline"/>
              <w:rPr>
                <w:rFonts w:ascii="Avenir Book" w:hAnsi="Avenir Book"/>
                <w:color w:val="000000"/>
              </w:rPr>
            </w:pPr>
            <w:r w:rsidRPr="00C2213D">
              <w:rPr>
                <w:rFonts w:ascii="Avenir Book" w:hAnsi="Avenir Book"/>
                <w:color w:val="000000"/>
                <w:shd w:val="clear" w:color="auto" w:fill="FFFFFF"/>
              </w:rPr>
              <w:t xml:space="preserve">See </w:t>
            </w:r>
            <w:hyperlink r:id="rId12" w:history="1">
              <w:r w:rsidRPr="00C2213D">
                <w:rPr>
                  <w:rStyle w:val="Hyperlink"/>
                  <w:rFonts w:ascii="Avenir Book" w:hAnsi="Avenir Book"/>
                  <w:color w:val="1155CC"/>
                  <w:shd w:val="clear" w:color="auto" w:fill="FFFFFF"/>
                </w:rPr>
                <w:t>Social Narratives</w:t>
              </w:r>
            </w:hyperlink>
            <w:r w:rsidRPr="00C2213D">
              <w:rPr>
                <w:rFonts w:ascii="Avenir Book" w:hAnsi="Avenir Book"/>
                <w:color w:val="000000"/>
                <w:shd w:val="clear" w:color="auto" w:fill="FFFFFF"/>
              </w:rPr>
              <w:t xml:space="preserve"> from OCALI’s Autism Center Grab and Go Resource Gallery of Interventions.</w:t>
            </w:r>
          </w:p>
          <w:p w14:paraId="3F4615CF" w14:textId="77777777" w:rsidR="00C2213D" w:rsidRPr="00C2213D" w:rsidRDefault="00C2213D" w:rsidP="004952C7">
            <w:pPr>
              <w:pStyle w:val="NormalWeb"/>
              <w:numPr>
                <w:ilvl w:val="0"/>
                <w:numId w:val="3"/>
              </w:numPr>
              <w:contextualSpacing/>
              <w:textAlignment w:val="baseline"/>
              <w:rPr>
                <w:rFonts w:ascii="Avenir Book" w:hAnsi="Avenir Book"/>
                <w:color w:val="000000"/>
              </w:rPr>
            </w:pPr>
            <w:r w:rsidRPr="00C2213D">
              <w:rPr>
                <w:rFonts w:ascii="Avenir Book" w:hAnsi="Avenir Book"/>
                <w:color w:val="000000"/>
                <w:shd w:val="clear" w:color="auto" w:fill="FFFFFF"/>
              </w:rPr>
              <w:t xml:space="preserve">For further information, visit the </w:t>
            </w:r>
            <w:hyperlink r:id="rId13" w:history="1">
              <w:r w:rsidRPr="00C2213D">
                <w:rPr>
                  <w:rStyle w:val="Hyperlink"/>
                  <w:rFonts w:ascii="Avenir Book" w:hAnsi="Avenir Book"/>
                  <w:color w:val="1155CC"/>
                  <w:shd w:val="clear" w:color="auto" w:fill="FFFFFF"/>
                </w:rPr>
                <w:t>Social Narratives Autism Internet Module</w:t>
              </w:r>
            </w:hyperlink>
            <w:r w:rsidRPr="00C2213D">
              <w:rPr>
                <w:rFonts w:ascii="Avenir Book" w:hAnsi="Avenir Book"/>
                <w:color w:val="000000"/>
                <w:shd w:val="clear" w:color="auto" w:fill="FFFFFF"/>
              </w:rPr>
              <w:t>.</w:t>
            </w:r>
          </w:p>
          <w:p w14:paraId="29F46A33" w14:textId="77777777" w:rsidR="00C2213D" w:rsidRPr="00C2213D" w:rsidRDefault="00C2213D" w:rsidP="004952C7">
            <w:pPr>
              <w:pStyle w:val="NormalWeb"/>
              <w:numPr>
                <w:ilvl w:val="0"/>
                <w:numId w:val="3"/>
              </w:numPr>
              <w:contextualSpacing/>
              <w:textAlignment w:val="baseline"/>
              <w:rPr>
                <w:rFonts w:ascii="Avenir Book" w:hAnsi="Avenir Book"/>
                <w:color w:val="000000"/>
              </w:rPr>
            </w:pPr>
            <w:r w:rsidRPr="00C2213D">
              <w:rPr>
                <w:rFonts w:ascii="Avenir Book" w:hAnsi="Avenir Book"/>
                <w:color w:val="000000"/>
                <w:shd w:val="clear" w:color="auto" w:fill="FFFFFF"/>
              </w:rPr>
              <w:t xml:space="preserve">Like Social Stories, Power Cards teach and reinforce academic, behavioral, organizational, and social skills. </w:t>
            </w:r>
            <w:hyperlink r:id="rId14" w:history="1">
              <w:r w:rsidRPr="00C2213D">
                <w:rPr>
                  <w:rStyle w:val="Hyperlink"/>
                  <w:rFonts w:ascii="Avenir Book" w:hAnsi="Avenir Book"/>
                  <w:color w:val="1155CC"/>
                  <w:shd w:val="clear" w:color="auto" w:fill="FFFFFF"/>
                </w:rPr>
                <w:t>Power Cards</w:t>
              </w:r>
            </w:hyperlink>
            <w:r w:rsidRPr="00C2213D">
              <w:rPr>
                <w:rFonts w:ascii="Avenir Book" w:hAnsi="Avenir Book"/>
                <w:color w:val="000000"/>
                <w:shd w:val="clear" w:color="auto" w:fill="FFFFFF"/>
              </w:rPr>
              <w:t xml:space="preserve"> are visual supports that include an individual’s special interest. See Power Cards from OCALI’s Autism Center Grab and Go Resource Gallery of Interventions.</w:t>
            </w:r>
          </w:p>
          <w:p w14:paraId="2EC874BA" w14:textId="109C1FE9" w:rsidR="00C2213D" w:rsidRPr="00C2213D" w:rsidRDefault="00C2213D" w:rsidP="004952C7">
            <w:pPr>
              <w:pStyle w:val="NormalWeb"/>
              <w:numPr>
                <w:ilvl w:val="0"/>
                <w:numId w:val="3"/>
              </w:numPr>
              <w:contextualSpacing/>
              <w:textAlignment w:val="baseline"/>
              <w:rPr>
                <w:rFonts w:ascii="Avenir Book" w:hAnsi="Avenir Book"/>
                <w:color w:val="000000"/>
              </w:rPr>
            </w:pPr>
            <w:hyperlink r:id="rId15" w:history="1">
              <w:r w:rsidRPr="00C2213D">
                <w:rPr>
                  <w:rStyle w:val="Hyperlink"/>
                  <w:rFonts w:ascii="Avenir Book" w:hAnsi="Avenir Book"/>
                  <w:color w:val="1155CC"/>
                  <w:shd w:val="clear" w:color="auto" w:fill="FFFFFF"/>
                </w:rPr>
                <w:t>Reminder Cue Cards</w:t>
              </w:r>
            </w:hyperlink>
            <w:r w:rsidRPr="00C2213D">
              <w:rPr>
                <w:rFonts w:ascii="Avenir Book" w:hAnsi="Avenir Book"/>
                <w:color w:val="000000"/>
                <w:shd w:val="clear" w:color="auto" w:fill="FFFFFF"/>
              </w:rPr>
              <w:t xml:space="preserve"> from OCALI’s Autism Center Grab and Go Resource Gallery of Interventions help teach and remind individuals how to engage in positive behaviors. Reminder Cue Cards provide “what to do” suggestions when an individual is feeling anxious, stressed, or confused. They also support interactions with peers, and offer ways to self-regulate, and manage emotions.</w:t>
            </w:r>
          </w:p>
          <w:p w14:paraId="108349D6" w14:textId="77777777" w:rsidR="00006559" w:rsidRPr="0096519F" w:rsidRDefault="30C72BBC" w:rsidP="0020323A">
            <w:pPr>
              <w:pStyle w:val="Heading3"/>
            </w:pPr>
            <w:r>
              <w:t>Ohio Early Learning Standards:</w:t>
            </w:r>
          </w:p>
          <w:p w14:paraId="0BA46567" w14:textId="77777777" w:rsidR="00C2213D" w:rsidRPr="00C2213D" w:rsidRDefault="00C2213D" w:rsidP="004952C7">
            <w:pPr>
              <w:pStyle w:val="Heading3"/>
              <w:numPr>
                <w:ilvl w:val="0"/>
                <w:numId w:val="2"/>
              </w:numPr>
              <w:tabs>
                <w:tab w:val="clear" w:pos="720"/>
              </w:tabs>
              <w:contextualSpacing/>
              <w:textAlignment w:val="baseline"/>
              <w:rPr>
                <w:rFonts w:ascii="Avenir" w:hAnsi="Avenir"/>
                <w:color w:val="000000"/>
                <w:szCs w:val="24"/>
              </w:rPr>
            </w:pPr>
            <w:r w:rsidRPr="00C2213D">
              <w:rPr>
                <w:rFonts w:ascii="Avenir" w:hAnsi="Avenir"/>
                <w:b w:val="0"/>
                <w:bCs w:val="0"/>
                <w:color w:val="000000"/>
                <w:szCs w:val="24"/>
                <w:shd w:val="clear" w:color="auto" w:fill="FFFFFF"/>
              </w:rPr>
              <w:t>SS. People, Communities, and their Environment: Develops understanding that everyone has rights and responsibilities within a group (1.c.).</w:t>
            </w:r>
          </w:p>
          <w:p w14:paraId="2770395A" w14:textId="5F548B2A" w:rsidR="00BB75A0" w:rsidRPr="00C2213D" w:rsidRDefault="00C2213D" w:rsidP="004952C7">
            <w:pPr>
              <w:pStyle w:val="NormalWeb"/>
              <w:numPr>
                <w:ilvl w:val="0"/>
                <w:numId w:val="2"/>
              </w:numPr>
              <w:contextualSpacing/>
              <w:textAlignment w:val="baseline"/>
              <w:rPr>
                <w:rFonts w:ascii="Avenir" w:hAnsi="Avenir"/>
                <w:color w:val="000000"/>
                <w:sz w:val="28"/>
                <w:szCs w:val="28"/>
              </w:rPr>
            </w:pPr>
            <w:r w:rsidRPr="00C2213D">
              <w:rPr>
                <w:rFonts w:ascii="Avenir" w:hAnsi="Avenir"/>
                <w:color w:val="000000"/>
                <w:shd w:val="clear" w:color="auto" w:fill="FFFFFF"/>
              </w:rPr>
              <w:t>PD&amp;W. Wellness: Demonstrates increasing understanding of safety practices and behaviors (2.f.).</w:t>
            </w:r>
          </w:p>
        </w:tc>
      </w:tr>
    </w:tbl>
    <w:p w14:paraId="3201F6F7" w14:textId="77777777" w:rsidR="00AC66D1" w:rsidRDefault="00AC66D1" w:rsidP="004E423F">
      <w:pPr>
        <w:pStyle w:val="Heading3"/>
        <w:spacing w:before="240" w:after="0"/>
      </w:pPr>
    </w:p>
    <w:p w14:paraId="106C223F" w14:textId="77777777" w:rsidR="00AC66D1" w:rsidRDefault="00AC66D1">
      <w:pPr>
        <w:rPr>
          <w:rFonts w:cs="Open Sans"/>
          <w:b/>
          <w:bCs/>
        </w:rPr>
      </w:pPr>
      <w:r>
        <w:br w:type="page"/>
      </w:r>
    </w:p>
    <w:p w14:paraId="1F6A8D6D" w14:textId="77777777"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F1737E" w:rsidRPr="007E6641" w14:paraId="0E9E406F" w14:textId="77777777" w:rsidTr="00AD0D25">
        <w:trPr>
          <w:trHeight w:val="2682"/>
          <w:jc w:val="center"/>
        </w:trPr>
        <w:tc>
          <w:tcPr>
            <w:tcW w:w="3312" w:type="dxa"/>
          </w:tcPr>
          <w:p w14:paraId="67951F96" w14:textId="77777777" w:rsidR="00F1737E" w:rsidRDefault="00F1737E" w:rsidP="00AD0D25">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sz w:val="32"/>
                <w:szCs w:val="32"/>
              </w:rPr>
              <w:t>Stop</w:t>
            </w:r>
            <w:r>
              <w:rPr>
                <w:rStyle w:val="eop"/>
                <w:rFonts w:ascii="Avenir Book" w:hAnsi="Avenir Book" w:cs="Segoe UI"/>
                <w:sz w:val="32"/>
                <w:szCs w:val="32"/>
              </w:rPr>
              <w:t> </w:t>
            </w:r>
          </w:p>
          <w:p w14:paraId="5EE9B573" w14:textId="77777777" w:rsidR="00F1737E" w:rsidRPr="007E6641" w:rsidRDefault="00F1737E" w:rsidP="00AD0D25">
            <w:pPr>
              <w:jc w:val="center"/>
              <w:rPr>
                <w:b/>
                <w:bCs/>
                <w:sz w:val="32"/>
                <w:szCs w:val="28"/>
              </w:rPr>
            </w:pPr>
            <w:r>
              <w:rPr>
                <w:rStyle w:val="wacimagecontainer"/>
                <w:rFonts w:ascii="Segoe UI" w:hAnsi="Segoe UI" w:cs="Segoe UI"/>
                <w:noProof/>
                <w:sz w:val="18"/>
                <w:szCs w:val="18"/>
              </w:rPr>
              <w:drawing>
                <wp:inline distT="0" distB="0" distL="0" distR="0" wp14:anchorId="361F49FE" wp14:editId="69667268">
                  <wp:extent cx="1854200" cy="1422400"/>
                  <wp:effectExtent l="0" t="0" r="0" b="0"/>
                  <wp:docPr id="1888288287" name="Picture 9" descr="Red light lit up on a traffic sig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8288287" name="Picture 9" descr="Red light lit up on a traffic signal"/>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4200" cy="1422400"/>
                          </a:xfrm>
                          <a:prstGeom prst="rect">
                            <a:avLst/>
                          </a:prstGeom>
                          <a:noFill/>
                          <a:ln>
                            <a:noFill/>
                          </a:ln>
                        </pic:spPr>
                      </pic:pic>
                    </a:graphicData>
                  </a:graphic>
                </wp:inline>
              </w:drawing>
            </w:r>
            <w:r>
              <w:rPr>
                <w:rStyle w:val="eop"/>
                <w:rFonts w:cs="Segoe UI"/>
                <w:sz w:val="32"/>
                <w:szCs w:val="32"/>
              </w:rPr>
              <w:t> </w:t>
            </w:r>
          </w:p>
        </w:tc>
        <w:tc>
          <w:tcPr>
            <w:tcW w:w="3312" w:type="dxa"/>
          </w:tcPr>
          <w:p w14:paraId="46E2F590" w14:textId="77777777" w:rsidR="00F1737E" w:rsidRPr="007E6641" w:rsidRDefault="00F1737E" w:rsidP="00AD0D25">
            <w:pPr>
              <w:jc w:val="center"/>
              <w:rPr>
                <w:b/>
                <w:bCs/>
              </w:rPr>
            </w:pPr>
            <w:r>
              <w:rPr>
                <w:rStyle w:val="normaltextrun"/>
                <w:rFonts w:cs="Segoe UI"/>
                <w:b/>
                <w:bCs/>
                <w:sz w:val="32"/>
                <w:szCs w:val="32"/>
              </w:rPr>
              <w:t>Go</w:t>
            </w:r>
            <w:r>
              <w:rPr>
                <w:rStyle w:val="wacimagecontainer"/>
                <w:rFonts w:ascii="Segoe UI" w:hAnsi="Segoe UI" w:cs="Segoe UI"/>
                <w:noProof/>
                <w:sz w:val="18"/>
                <w:szCs w:val="18"/>
              </w:rPr>
              <w:drawing>
                <wp:inline distT="0" distB="0" distL="0" distR="0" wp14:anchorId="1A3FF785" wp14:editId="230766D6">
                  <wp:extent cx="1905000" cy="1473200"/>
                  <wp:effectExtent l="0" t="0" r="0" b="0"/>
                  <wp:docPr id="644200588" name="Picture 10" descr="Green light lit up on a traffic sign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200588" name="Picture 10" descr="Green light lit up on a traffic signa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473200"/>
                          </a:xfrm>
                          <a:prstGeom prst="rect">
                            <a:avLst/>
                          </a:prstGeom>
                          <a:noFill/>
                          <a:ln>
                            <a:noFill/>
                          </a:ln>
                        </pic:spPr>
                      </pic:pic>
                    </a:graphicData>
                  </a:graphic>
                </wp:inline>
              </w:drawing>
            </w:r>
            <w:r>
              <w:rPr>
                <w:rStyle w:val="eop"/>
                <w:rFonts w:cs="Segoe UI"/>
              </w:rPr>
              <w:t> </w:t>
            </w:r>
          </w:p>
        </w:tc>
        <w:tc>
          <w:tcPr>
            <w:tcW w:w="3312" w:type="dxa"/>
          </w:tcPr>
          <w:p w14:paraId="0BF367AA" w14:textId="77777777" w:rsidR="00F1737E" w:rsidRDefault="00F1737E" w:rsidP="00AD0D25">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sz w:val="32"/>
                <w:szCs w:val="32"/>
              </w:rPr>
              <w:t>Wait</w:t>
            </w:r>
            <w:r>
              <w:rPr>
                <w:rStyle w:val="eop"/>
                <w:rFonts w:ascii="Avenir Book" w:hAnsi="Avenir Book" w:cs="Segoe UI"/>
                <w:sz w:val="32"/>
                <w:szCs w:val="32"/>
              </w:rPr>
              <w:t> </w:t>
            </w:r>
          </w:p>
          <w:p w14:paraId="13DC89C7" w14:textId="77777777" w:rsidR="00F1737E" w:rsidRPr="007E6641" w:rsidRDefault="00F1737E" w:rsidP="00AD0D25">
            <w:pPr>
              <w:jc w:val="center"/>
              <w:rPr>
                <w:b/>
                <w:bCs/>
                <w:sz w:val="32"/>
                <w:szCs w:val="32"/>
              </w:rPr>
            </w:pPr>
            <w:r>
              <w:rPr>
                <w:rStyle w:val="wacimagecontainer"/>
                <w:rFonts w:ascii="Segoe UI" w:hAnsi="Segoe UI" w:cs="Segoe UI"/>
                <w:noProof/>
                <w:sz w:val="18"/>
                <w:szCs w:val="18"/>
              </w:rPr>
              <w:drawing>
                <wp:inline distT="0" distB="0" distL="0" distR="0" wp14:anchorId="6E00D816" wp14:editId="316EB49C">
                  <wp:extent cx="1854200" cy="1422400"/>
                  <wp:effectExtent l="0" t="0" r="0" b="0"/>
                  <wp:docPr id="11" name="Picture 3" descr="Child sitting in chair with clock next to th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 descr="Child sitting in chair with clock next to them"/>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0" cy="1422400"/>
                          </a:xfrm>
                          <a:prstGeom prst="rect">
                            <a:avLst/>
                          </a:prstGeom>
                          <a:noFill/>
                          <a:ln>
                            <a:noFill/>
                          </a:ln>
                        </pic:spPr>
                      </pic:pic>
                    </a:graphicData>
                  </a:graphic>
                </wp:inline>
              </w:drawing>
            </w:r>
            <w:r>
              <w:rPr>
                <w:rStyle w:val="eop"/>
                <w:rFonts w:cs="Segoe UI"/>
              </w:rPr>
              <w:t> </w:t>
            </w:r>
          </w:p>
        </w:tc>
      </w:tr>
      <w:tr w:rsidR="00F1737E" w:rsidRPr="007E6641" w14:paraId="6010839B" w14:textId="77777777" w:rsidTr="00AD0D25">
        <w:trPr>
          <w:trHeight w:val="2682"/>
          <w:jc w:val="center"/>
        </w:trPr>
        <w:tc>
          <w:tcPr>
            <w:tcW w:w="3312" w:type="dxa"/>
          </w:tcPr>
          <w:p w14:paraId="681A8B15" w14:textId="77777777" w:rsidR="00F1737E" w:rsidRPr="007E6641" w:rsidRDefault="00F1737E" w:rsidP="00AD0D25">
            <w:pPr>
              <w:jc w:val="center"/>
              <w:rPr>
                <w:b/>
                <w:bCs/>
                <w:sz w:val="32"/>
                <w:szCs w:val="32"/>
              </w:rPr>
            </w:pPr>
            <w:r>
              <w:rPr>
                <w:rStyle w:val="normaltextrun"/>
                <w:rFonts w:cs="Segoe UI"/>
                <w:b/>
                <w:bCs/>
                <w:sz w:val="32"/>
                <w:szCs w:val="32"/>
              </w:rPr>
              <w:t>Open</w:t>
            </w:r>
            <w:r>
              <w:rPr>
                <w:rStyle w:val="eop"/>
                <w:rFonts w:cs="Segoe UI"/>
                <w:sz w:val="32"/>
                <w:szCs w:val="32"/>
              </w:rPr>
              <w:t> </w:t>
            </w:r>
            <w:r>
              <w:rPr>
                <w:b/>
                <w:bCs/>
                <w:noProof/>
                <w:sz w:val="32"/>
                <w:szCs w:val="32"/>
              </w:rPr>
              <w:drawing>
                <wp:inline distT="0" distB="0" distL="0" distR="0" wp14:anchorId="7F139ECF" wp14:editId="2EC058BF">
                  <wp:extent cx="1965960" cy="1474470"/>
                  <wp:effectExtent l="0" t="0" r="2540" b="0"/>
                  <wp:docPr id="2020721852" name="Picture 7" descr="A blue bottle with black arrow pointing up and over with a hand holding a gray lid above the bottle op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21852" name="Picture 7" descr="A blue bottle with black arrow pointing up and over with a hand holding a gray lid above the bottle ope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D569DA3" w14:textId="77777777" w:rsidR="00F1737E" w:rsidRPr="007E6641" w:rsidRDefault="00F1737E" w:rsidP="00AD0D25">
            <w:pPr>
              <w:jc w:val="center"/>
              <w:rPr>
                <w:b/>
                <w:bCs/>
                <w:sz w:val="32"/>
                <w:szCs w:val="32"/>
              </w:rPr>
            </w:pPr>
            <w:r>
              <w:rPr>
                <w:rStyle w:val="normaltextrun"/>
                <w:rFonts w:cs="Segoe UI"/>
                <w:b/>
                <w:bCs/>
                <w:sz w:val="32"/>
                <w:szCs w:val="32"/>
              </w:rPr>
              <w:t>Close</w:t>
            </w:r>
            <w:r>
              <w:rPr>
                <w:rStyle w:val="eop"/>
                <w:rFonts w:cs="Segoe UI"/>
                <w:sz w:val="32"/>
                <w:szCs w:val="32"/>
              </w:rPr>
              <w:t> </w:t>
            </w:r>
            <w:r>
              <w:rPr>
                <w:b/>
                <w:bCs/>
                <w:noProof/>
                <w:sz w:val="32"/>
                <w:szCs w:val="32"/>
              </w:rPr>
              <w:drawing>
                <wp:inline distT="0" distB="0" distL="0" distR="0" wp14:anchorId="2419604B" wp14:editId="7C8FECF7">
                  <wp:extent cx="1965960" cy="1474470"/>
                  <wp:effectExtent l="0" t="0" r="2540" b="0"/>
                  <wp:docPr id="1696300521" name="Picture 8" descr="Outlined square with arrow pointing to a blu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00521" name="Picture 8" descr="Outlined square with arrow pointing to a blue squa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EEA5D77" w14:textId="77777777" w:rsidR="00F1737E" w:rsidRPr="007E6641" w:rsidRDefault="00F1737E" w:rsidP="00AD0D25">
            <w:pPr>
              <w:jc w:val="center"/>
              <w:rPr>
                <w:b/>
                <w:bCs/>
                <w:sz w:val="32"/>
                <w:szCs w:val="32"/>
              </w:rPr>
            </w:pPr>
            <w:r>
              <w:rPr>
                <w:rStyle w:val="normaltextrun"/>
                <w:rFonts w:cs="Segoe UI"/>
                <w:b/>
                <w:bCs/>
                <w:sz w:val="32"/>
                <w:szCs w:val="32"/>
              </w:rPr>
              <w:t>Help</w:t>
            </w:r>
            <w:r>
              <w:rPr>
                <w:rStyle w:val="wacimagecontainer"/>
                <w:rFonts w:ascii="Segoe UI" w:hAnsi="Segoe UI" w:cs="Segoe UI"/>
                <w:noProof/>
                <w:sz w:val="18"/>
                <w:szCs w:val="18"/>
              </w:rPr>
              <w:drawing>
                <wp:inline distT="0" distB="0" distL="0" distR="0" wp14:anchorId="3882CA20" wp14:editId="0C90F3FC">
                  <wp:extent cx="1892300" cy="1460500"/>
                  <wp:effectExtent l="0" t="0" r="0" b="0"/>
                  <wp:docPr id="12" name="Picture 4" descr="A child kneeling on his knee and another child reaching toward the kneeling chi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4" descr="A child kneeling on his knee and another child reaching toward the kneeling child."/>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0" cy="1460500"/>
                          </a:xfrm>
                          <a:prstGeom prst="rect">
                            <a:avLst/>
                          </a:prstGeom>
                          <a:noFill/>
                          <a:ln>
                            <a:noFill/>
                          </a:ln>
                        </pic:spPr>
                      </pic:pic>
                    </a:graphicData>
                  </a:graphic>
                </wp:inline>
              </w:drawing>
            </w:r>
            <w:r>
              <w:rPr>
                <w:rStyle w:val="eop"/>
                <w:rFonts w:cs="Segoe UI"/>
              </w:rPr>
              <w:t> </w:t>
            </w:r>
          </w:p>
        </w:tc>
      </w:tr>
      <w:tr w:rsidR="00F1737E" w:rsidRPr="007E6641" w14:paraId="0ECEFF28" w14:textId="77777777" w:rsidTr="00AD0D25">
        <w:trPr>
          <w:trHeight w:val="2682"/>
          <w:jc w:val="center"/>
        </w:trPr>
        <w:tc>
          <w:tcPr>
            <w:tcW w:w="3312" w:type="dxa"/>
          </w:tcPr>
          <w:p w14:paraId="7495C84B" w14:textId="77777777" w:rsidR="00F1737E" w:rsidRPr="007E6641" w:rsidRDefault="00F1737E" w:rsidP="00AD0D25">
            <w:pPr>
              <w:jc w:val="center"/>
              <w:rPr>
                <w:rFonts w:cs="Open Sans"/>
                <w:b/>
                <w:bCs/>
                <w:sz w:val="32"/>
                <w:szCs w:val="32"/>
              </w:rPr>
            </w:pPr>
            <w:r>
              <w:rPr>
                <w:rStyle w:val="normaltextrun"/>
                <w:rFonts w:cs="Segoe UI"/>
                <w:b/>
                <w:bCs/>
                <w:sz w:val="32"/>
                <w:szCs w:val="32"/>
              </w:rPr>
              <w:t>Sad</w:t>
            </w:r>
            <w:r>
              <w:rPr>
                <w:rStyle w:val="eop"/>
                <w:rFonts w:cs="Segoe UI"/>
                <w:sz w:val="32"/>
                <w:szCs w:val="32"/>
              </w:rPr>
              <w:t> </w:t>
            </w:r>
            <w:r>
              <w:rPr>
                <w:rFonts w:cs="Open Sans"/>
                <w:b/>
                <w:bCs/>
                <w:noProof/>
                <w:sz w:val="32"/>
                <w:szCs w:val="32"/>
              </w:rPr>
              <w:drawing>
                <wp:inline distT="0" distB="0" distL="0" distR="0" wp14:anchorId="2FECD387" wp14:editId="2B7BB8BD">
                  <wp:extent cx="1965960" cy="1474470"/>
                  <wp:effectExtent l="0" t="0" r="2540" b="0"/>
                  <wp:docPr id="421491944" name="Picture 9" descr="A face with downturned line, like a frown, eyes that also turn down and a single blue tear falling from the right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91944" name="Picture 9" descr="A face with downturned line, like a frown, eyes that also turn down and a single blue tear falling from the right ey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3131D02C" w14:textId="77777777" w:rsidR="00F1737E" w:rsidRPr="007E6641" w:rsidRDefault="00F1737E" w:rsidP="00AD0D25">
            <w:pPr>
              <w:jc w:val="center"/>
              <w:rPr>
                <w:rFonts w:cs="Open Sans"/>
                <w:b/>
                <w:bCs/>
                <w:sz w:val="32"/>
                <w:szCs w:val="28"/>
              </w:rPr>
            </w:pPr>
            <w:r>
              <w:rPr>
                <w:rStyle w:val="normaltextrun"/>
                <w:rFonts w:cs="Segoe UI"/>
                <w:b/>
                <w:bCs/>
                <w:sz w:val="32"/>
                <w:szCs w:val="32"/>
              </w:rPr>
              <w:t>Mad</w:t>
            </w:r>
            <w:r>
              <w:rPr>
                <w:rStyle w:val="wacimagecontainer"/>
                <w:rFonts w:ascii="Segoe UI" w:hAnsi="Segoe UI" w:cs="Segoe UI"/>
                <w:noProof/>
                <w:sz w:val="18"/>
                <w:szCs w:val="18"/>
              </w:rPr>
              <w:drawing>
                <wp:inline distT="0" distB="0" distL="0" distR="0" wp14:anchorId="446AE435" wp14:editId="53C18BE9">
                  <wp:extent cx="1968500" cy="1460500"/>
                  <wp:effectExtent l="0" t="0" r="0" b="0"/>
                  <wp:docPr id="13" name="Picture 5" descr="A person with a red shirt, mouth open, eyebrows pointing down, and their arms raised with fists at the end, lines next to their arms indicate mov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5" descr="A person with a red shirt, mouth open, eyebrows pointing down, and their arms raised with fists at the end, lines next to their arms indicate movement."/>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8500" cy="1460500"/>
                          </a:xfrm>
                          <a:prstGeom prst="rect">
                            <a:avLst/>
                          </a:prstGeom>
                          <a:noFill/>
                          <a:ln>
                            <a:noFill/>
                          </a:ln>
                        </pic:spPr>
                      </pic:pic>
                    </a:graphicData>
                  </a:graphic>
                </wp:inline>
              </w:drawing>
            </w:r>
            <w:r>
              <w:rPr>
                <w:rStyle w:val="eop"/>
                <w:rFonts w:cs="Segoe UI"/>
                <w:sz w:val="32"/>
                <w:szCs w:val="32"/>
              </w:rPr>
              <w:t> </w:t>
            </w:r>
          </w:p>
        </w:tc>
        <w:tc>
          <w:tcPr>
            <w:tcW w:w="3312" w:type="dxa"/>
          </w:tcPr>
          <w:p w14:paraId="5F0BE340" w14:textId="77777777" w:rsidR="00F1737E" w:rsidRDefault="00F1737E" w:rsidP="00AD0D25">
            <w:pPr>
              <w:pStyle w:val="paragraph"/>
              <w:spacing w:before="0" w:beforeAutospacing="0" w:after="0" w:afterAutospacing="0"/>
              <w:jc w:val="center"/>
              <w:textAlignment w:val="baseline"/>
              <w:rPr>
                <w:rFonts w:ascii="Segoe UI" w:hAnsi="Segoe UI" w:cs="Segoe UI"/>
                <w:sz w:val="18"/>
                <w:szCs w:val="18"/>
              </w:rPr>
            </w:pPr>
            <w:r>
              <w:rPr>
                <w:rStyle w:val="normaltextrun"/>
                <w:rFonts w:ascii="Avenir Book" w:hAnsi="Avenir Book" w:cs="Segoe UI"/>
                <w:b/>
                <w:bCs/>
                <w:sz w:val="32"/>
                <w:szCs w:val="32"/>
              </w:rPr>
              <w:t>Scared</w:t>
            </w:r>
            <w:r>
              <w:rPr>
                <w:rStyle w:val="eop"/>
                <w:rFonts w:ascii="Avenir Book" w:hAnsi="Avenir Book" w:cs="Segoe UI"/>
                <w:sz w:val="32"/>
                <w:szCs w:val="32"/>
              </w:rPr>
              <w:t> </w:t>
            </w:r>
          </w:p>
          <w:p w14:paraId="661A0216" w14:textId="77777777" w:rsidR="00F1737E" w:rsidRPr="007E6641" w:rsidRDefault="00F1737E" w:rsidP="00AD0D25">
            <w:pPr>
              <w:jc w:val="center"/>
              <w:rPr>
                <w:rFonts w:cs="Open Sans"/>
                <w:b/>
                <w:bCs/>
                <w:sz w:val="32"/>
                <w:szCs w:val="28"/>
              </w:rPr>
            </w:pPr>
            <w:r>
              <w:rPr>
                <w:rStyle w:val="wacimagecontainer"/>
                <w:rFonts w:ascii="Segoe UI" w:hAnsi="Segoe UI" w:cs="Segoe UI"/>
                <w:noProof/>
                <w:sz w:val="18"/>
                <w:szCs w:val="18"/>
              </w:rPr>
              <w:drawing>
                <wp:inline distT="0" distB="0" distL="0" distR="0" wp14:anchorId="43214E80" wp14:editId="6FCD4AB5">
                  <wp:extent cx="1968500" cy="1473200"/>
                  <wp:effectExtent l="0" t="0" r="0" b="0"/>
                  <wp:docPr id="14" name="Picture 6" descr="A face with eyebrows curving up and mouth slightly open with teeth showing with lips curved slight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6" descr="A face with eyebrows curving up and mouth slightly open with teeth showing with lips curved slightly."/>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8500" cy="1473200"/>
                          </a:xfrm>
                          <a:prstGeom prst="rect">
                            <a:avLst/>
                          </a:prstGeom>
                          <a:noFill/>
                          <a:ln>
                            <a:noFill/>
                          </a:ln>
                        </pic:spPr>
                      </pic:pic>
                    </a:graphicData>
                  </a:graphic>
                </wp:inline>
              </w:drawing>
            </w:r>
            <w:r>
              <w:rPr>
                <w:rStyle w:val="eop"/>
                <w:rFonts w:cs="Segoe UI"/>
                <w:sz w:val="32"/>
                <w:szCs w:val="32"/>
              </w:rPr>
              <w:t> </w:t>
            </w:r>
          </w:p>
        </w:tc>
      </w:tr>
    </w:tbl>
    <w:p w14:paraId="64AE4F96" w14:textId="77777777"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0E30212F" w14:textId="77777777" w:rsidR="00BC2439" w:rsidRPr="0020323A" w:rsidRDefault="004E423F" w:rsidP="0020323A">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6775CCEE"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1198" w14:textId="77777777" w:rsidR="00E76F4F" w:rsidRDefault="00E76F4F" w:rsidP="00BF408A">
      <w:pPr>
        <w:spacing w:after="0" w:line="240" w:lineRule="auto"/>
      </w:pPr>
      <w:r>
        <w:separator/>
      </w:r>
    </w:p>
  </w:endnote>
  <w:endnote w:type="continuationSeparator" w:id="0">
    <w:p w14:paraId="47463F2D" w14:textId="77777777" w:rsidR="00E76F4F" w:rsidRDefault="00E76F4F"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CE94" w14:textId="77777777" w:rsidR="00E76F4F" w:rsidRDefault="00E76F4F" w:rsidP="00BF408A">
      <w:pPr>
        <w:spacing w:after="0" w:line="240" w:lineRule="auto"/>
      </w:pPr>
      <w:r>
        <w:separator/>
      </w:r>
    </w:p>
  </w:footnote>
  <w:footnote w:type="continuationSeparator" w:id="0">
    <w:p w14:paraId="5545AC30" w14:textId="77777777" w:rsidR="00E76F4F" w:rsidRDefault="00E76F4F"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53C"/>
    <w:multiLevelType w:val="multilevel"/>
    <w:tmpl w:val="CD3273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 w15:restartNumberingAfterBreak="0">
    <w:nsid w:val="44B5220C"/>
    <w:multiLevelType w:val="multilevel"/>
    <w:tmpl w:val="D2D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15174F"/>
    <w:multiLevelType w:val="multilevel"/>
    <w:tmpl w:val="CAC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065269">
    <w:abstractNumId w:val="1"/>
  </w:num>
  <w:num w:numId="2" w16cid:durableId="1723014954">
    <w:abstractNumId w:val="2"/>
  </w:num>
  <w:num w:numId="3" w16cid:durableId="1504318174">
    <w:abstractNumId w:val="3"/>
  </w:num>
  <w:num w:numId="4" w16cid:durableId="11806607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FA2429"/>
    <w:rsid w:val="00000274"/>
    <w:rsid w:val="00006559"/>
    <w:rsid w:val="00011D4C"/>
    <w:rsid w:val="00031013"/>
    <w:rsid w:val="000313C3"/>
    <w:rsid w:val="0004070B"/>
    <w:rsid w:val="00045F1C"/>
    <w:rsid w:val="00053080"/>
    <w:rsid w:val="00055BBE"/>
    <w:rsid w:val="000563ED"/>
    <w:rsid w:val="00057250"/>
    <w:rsid w:val="00064342"/>
    <w:rsid w:val="00071AD9"/>
    <w:rsid w:val="00075009"/>
    <w:rsid w:val="000810D3"/>
    <w:rsid w:val="00086979"/>
    <w:rsid w:val="00086CD6"/>
    <w:rsid w:val="000940B6"/>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81D6C"/>
    <w:rsid w:val="0028636A"/>
    <w:rsid w:val="002924F9"/>
    <w:rsid w:val="00296616"/>
    <w:rsid w:val="0029678A"/>
    <w:rsid w:val="002A1B69"/>
    <w:rsid w:val="002A2E27"/>
    <w:rsid w:val="002A3110"/>
    <w:rsid w:val="002B2CA2"/>
    <w:rsid w:val="002C2776"/>
    <w:rsid w:val="002C2F99"/>
    <w:rsid w:val="002D65E6"/>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503E8"/>
    <w:rsid w:val="00483B4C"/>
    <w:rsid w:val="00487351"/>
    <w:rsid w:val="00487C25"/>
    <w:rsid w:val="004952C7"/>
    <w:rsid w:val="004A2470"/>
    <w:rsid w:val="004A3AF1"/>
    <w:rsid w:val="004A5806"/>
    <w:rsid w:val="004A5BCB"/>
    <w:rsid w:val="004B5CFE"/>
    <w:rsid w:val="004C0B78"/>
    <w:rsid w:val="004C5CB6"/>
    <w:rsid w:val="004C5FE6"/>
    <w:rsid w:val="004D2168"/>
    <w:rsid w:val="004D5F75"/>
    <w:rsid w:val="004D7102"/>
    <w:rsid w:val="004E1FF7"/>
    <w:rsid w:val="004E423F"/>
    <w:rsid w:val="0050376F"/>
    <w:rsid w:val="00505DC3"/>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0A82"/>
    <w:rsid w:val="00604E31"/>
    <w:rsid w:val="0062759B"/>
    <w:rsid w:val="006358C6"/>
    <w:rsid w:val="006422C5"/>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700A31"/>
    <w:rsid w:val="00714B72"/>
    <w:rsid w:val="00714CC9"/>
    <w:rsid w:val="00717456"/>
    <w:rsid w:val="00730019"/>
    <w:rsid w:val="007307D0"/>
    <w:rsid w:val="00740E1D"/>
    <w:rsid w:val="0075053C"/>
    <w:rsid w:val="00756F32"/>
    <w:rsid w:val="007570AC"/>
    <w:rsid w:val="00760F0A"/>
    <w:rsid w:val="00762F61"/>
    <w:rsid w:val="00764504"/>
    <w:rsid w:val="00770589"/>
    <w:rsid w:val="007732C9"/>
    <w:rsid w:val="007742A4"/>
    <w:rsid w:val="00781ED5"/>
    <w:rsid w:val="00782361"/>
    <w:rsid w:val="00793096"/>
    <w:rsid w:val="00794876"/>
    <w:rsid w:val="00794BE2"/>
    <w:rsid w:val="0079585B"/>
    <w:rsid w:val="007A099B"/>
    <w:rsid w:val="007A6BA0"/>
    <w:rsid w:val="007C4EB0"/>
    <w:rsid w:val="007C738E"/>
    <w:rsid w:val="007E1CAE"/>
    <w:rsid w:val="007E2FCC"/>
    <w:rsid w:val="0080689E"/>
    <w:rsid w:val="008109A0"/>
    <w:rsid w:val="0082332A"/>
    <w:rsid w:val="008306F6"/>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D7899"/>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22AA"/>
    <w:rsid w:val="00AD2BF8"/>
    <w:rsid w:val="00AD468A"/>
    <w:rsid w:val="00AE17AF"/>
    <w:rsid w:val="00AE3E25"/>
    <w:rsid w:val="00AE6293"/>
    <w:rsid w:val="00AF05D6"/>
    <w:rsid w:val="00B16CDD"/>
    <w:rsid w:val="00B20617"/>
    <w:rsid w:val="00B24F14"/>
    <w:rsid w:val="00B25C67"/>
    <w:rsid w:val="00B34A89"/>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576B"/>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213D"/>
    <w:rsid w:val="00C25947"/>
    <w:rsid w:val="00C27F3C"/>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CDA"/>
    <w:rsid w:val="00E64B14"/>
    <w:rsid w:val="00E65589"/>
    <w:rsid w:val="00E7582D"/>
    <w:rsid w:val="00E76CFF"/>
    <w:rsid w:val="00E76F4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1737E"/>
    <w:rsid w:val="00F22B90"/>
    <w:rsid w:val="00F37DEA"/>
    <w:rsid w:val="00F44AD5"/>
    <w:rsid w:val="00F455E0"/>
    <w:rsid w:val="00F46657"/>
    <w:rsid w:val="00F52F8B"/>
    <w:rsid w:val="00F53755"/>
    <w:rsid w:val="00F56CCB"/>
    <w:rsid w:val="00F6067C"/>
    <w:rsid w:val="00F647DC"/>
    <w:rsid w:val="00F658EC"/>
    <w:rsid w:val="00F925D4"/>
    <w:rsid w:val="00F93D1A"/>
    <w:rsid w:val="00F93E3F"/>
    <w:rsid w:val="00F97B3A"/>
    <w:rsid w:val="00FA0F82"/>
    <w:rsid w:val="00FA2429"/>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BED1"/>
  <w15:chartTrackingRefBased/>
  <w15:docId w15:val="{CD35115D-EA5C-F04B-8310-4387E28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6830818">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566503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5409941">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010581">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413527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08887519">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199733443">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21526243">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5735546">
      <w:bodyDiv w:val="1"/>
      <w:marLeft w:val="0"/>
      <w:marRight w:val="0"/>
      <w:marTop w:val="0"/>
      <w:marBottom w:val="0"/>
      <w:divBdr>
        <w:top w:val="none" w:sz="0" w:space="0" w:color="auto"/>
        <w:left w:val="none" w:sz="0" w:space="0" w:color="auto"/>
        <w:bottom w:val="none" w:sz="0" w:space="0" w:color="auto"/>
        <w:right w:val="none" w:sz="0" w:space="0" w:color="auto"/>
      </w:divBdr>
    </w:div>
    <w:div w:id="1463887712">
      <w:bodyDiv w:val="1"/>
      <w:marLeft w:val="0"/>
      <w:marRight w:val="0"/>
      <w:marTop w:val="0"/>
      <w:marBottom w:val="0"/>
      <w:divBdr>
        <w:top w:val="none" w:sz="0" w:space="0" w:color="auto"/>
        <w:left w:val="none" w:sz="0" w:space="0" w:color="auto"/>
        <w:bottom w:val="none" w:sz="0" w:space="0" w:color="auto"/>
        <w:right w:val="none" w:sz="0" w:space="0" w:color="auto"/>
      </w:divBdr>
    </w:div>
    <w:div w:id="1467502692">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86581248">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isminternetmodules.org/"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www.ocali.org/project/resource_gallery_of_interventions/page/social_narrative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medepot.com/p/SABRE-Wireless-Door-Handle-Alarm-HS-DHA/311399166?source=shoppingads&amp;locale=en-US&amp;srsltid=AYJSbAet5Q-4Xdwnwn9e3vtbp3zW27L3lerBqKwjLP-6gdQXEQUn7LNS5gM" TargetMode="Externa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www.ocali.org/project/resource_gallery_of_interventions/page/Reminder-Cue-Cards" TargetMode="External"/><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cali.org/project/resource_gallery_of_interventions/page/Power-Cards" TargetMode="External"/><Relationship Id="rId22"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869fb65e821f61e4c8a7b7d8310582e">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f34c36e2168a9d3b9f6df530dc6afd46"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7B94CB3C-7A60-45C9-8CF2-84218105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f2b-e302-4baa-9c3e-dc0fe286712b"/>
    <ds:schemaRef ds:uri="7be29b14-43d9-4d67-aa31-c8214fc7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20</TotalTime>
  <Pages>3</Pages>
  <Words>734</Words>
  <Characters>3952</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8</cp:revision>
  <cp:lastPrinted>2024-11-05T17:30:00Z</cp:lastPrinted>
  <dcterms:created xsi:type="dcterms:W3CDTF">2025-11-24T15:54:00Z</dcterms:created>
  <dcterms:modified xsi:type="dcterms:W3CDTF">2025-12-18T19:18:00Z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